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867. “婴儿游泳抚触，水育早教”——婴儿水育课报课意愿与水质安全信任研究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研究对象：带婴儿（0-3岁）上游泳/水育课的家长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核心问题/变量：婴儿游泳报课动机（感统/睡眠）、门店卫生与水质信任、单次/课时费用、溺水风险关注、效果感知、续课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H1：婴儿游泳报课动机（感统/睡眠）、门店卫生与水质信任显著影响续课（待验证）；H2：不同人群（年龄/收入/城市等级）在上述关系中存在调节作用（待验证）。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🔶婴儿游泳馆卫生监管（卫健委、市场监管总局）；🔶水育市场数据（行业报告须下载核验）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水育馆渠道+家长问卷；获奖黑名单核对：近三年无婴儿游泳获奖题（区别于683亲子游泳，聚焦0-3岁水育）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🔶婴儿游泳馆卫生监管（卫健委、市场监管总局）；🔶水育市场数据（行业报告须下载核验）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