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086. “三孩时代，养育成本”——家庭育儿消费结构与三孩生育意愿研究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研究对象：已婚育龄人群（有0—12岁子女）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核心问题/变量：育儿支出结构（教育/医疗/日常）、支出压力感知、生育意愿、政策支持感知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育儿支出结构（教育/医疗/日常）、支出压力感知（政策支持感知）之间存在可检验的关系，且受群体差异（年龄/收入/地区/身份）调节（待验证）；H2：育儿支出结构（教育/医疗/日常）、支出压力感知是影响政策支持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✅三孩政策配套支持体系持续推进（国家卫生健康委）；✅普惠托育服务体系建设意见（国卫人口发〔2025〕6号）；🔶育儿成本占比数据待核验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母婴社群/学校家长群渠道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✅三孩政策配套支持体系持续推进（国家卫生健康委）；✅普惠托育服务体系建设意见（国卫人口发〔2025〕6号）；🔶育儿成本占比数据待核验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