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1027. “婚前财产协议，爱与契约”——婚前财产公证、协议消费意愿研究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研究对象：筹备结婚且考虑/已签婚前财产协议的青年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核心问题/变量：婚前协议认知与接受度、签署动机（房产/股权/债务隔离）、双方家庭态度、公证费用、感情影响权衡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婚前协议认知与接受度、签署动机（房产/股权/债务隔离）（感情影响权衡）之间存在可检验的关系，且受群体差异（年龄/收入/地区/身份）调节（待验证）；H2：婚前协议认知与接受度、签署动机（房产/股权/债务隔离）是影响感情影响权衡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🔶民法典婚姻家庭编规定（全国人大）；🔶婚前财产公证数据（司法部须下载核验）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待婚青年问卷+公证处访谈；获奖黑名单核对：近三年无婚前财产协议获奖题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🔶民法典婚姻家庭编规定（全国人大）；🔶婚前财产公证数据（司法部须下载核验）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