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1351. “搭子文化2.0，万物皆可搭”——搭子社交参与意愿与陌生人信任调查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确定行业：19_婚恋与社交（选择理由：贴合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研究对象：建立各类搭子关系（饭搭子/旅游搭子/自习搭子）的年轻人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核心问题/变量：搭子类型细分（饭搭/遛狗/看展）、搭子契约（不越界）、平台撮合（搭子群/App）、AA费用、陌生人信任、友谊升格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搭子类型细分（饭搭/遛狗/看展）、搭子契约（不越界）（友谊升格）之间存在可检验的关系，且受群体差异（年龄/收入/地区/身份）调节（待验证）；H2：搭子类型细分（饭搭/遛狗/看展）、搭子契约（不越界）是影响友谊升格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🔶搭子文化现象研究（青年报告须下载核验）；🔶搭子社交媒体报道（须下载核验）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搭子社群问卷+社交平台访谈；获奖黑名单核对：近三年无搭子文化获奖题（区别于162游戏搭子、1133运动搭子，聚焦泛搭子现象）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🔶搭子文化现象研究（青年报告须下载核验）；🔶搭子社交媒体报道（须下载核验）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