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1354. “情绪价值恋爱，i人约会”——情绪价值（恋爱关系）需求研究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确定行业：19_婚恋与社交（选择理由：贴合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研究对象：重视情绪价值（被理解/回应）的恋爱青年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核心问题/变量：情绪价值需求（回应度/仪式感）、恋爱AA制、i人在恋爱中的角色、失恋情绪消费（疗愈）、关系满意度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H1：情绪价值需求（回应度/仪式感）、恋爱AA制显著影响关系满意度（待验证）；H2：不同人群（年龄/收入/城市等级）在上述关系中存在调节作用（待验证）。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🔶青年婚恋观调查（共青团、媒体须下载核验）；🔶情感消费报告（行业报告须下载核验）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恋爱青年问卷+心理咨询师访谈；获奖黑名单核对：近三年无情绪价值恋爱获奖题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🔶青年婚恋观调查（共青团、媒体须下载核验）；🔶情感消费报告（行业报告须下载核验）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