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1355. “离婚冷静期，冷静之后呢”——离婚冷静期制度认知与公众评价调查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研究对象：经历/关注离婚冷静期（30天）的当事人与公众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核心问题/变量：离婚冷静期认知（冲动离婚/家暴豁免）、冷静期后选择（和好/离婚）、情绪调解服务、诉讼离婚路径、公众评价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离婚冷静期认知（冲动离婚/家暴豁免）、冷静期后选择（和好/离婚）（公众评价）之间存在可检验的关系，且受群体差异（年龄/收入/地区/身份）调节（待验证）；H2：离婚冷静期认知（冲动离婚/家暴豁免）、冷静期后选择（和好/离婚）是影响公众评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🔶民法典离婚冷静期条款（全国人大）；🔶离婚登记数据（民政部须下载核验）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婚登处问卷+婚姻家庭调解员访谈；获奖黑名单核对：近三年无离婚冷静期获奖题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🔶民法典离婚冷静期条款（全国人大）；🔶离婚登记数据（民政部须下载核验）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