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1356. “晚婚不婚潮，单身经济2.0”——晚婚不婚选择动因与单身消费需求调查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研究对象：选择晚婚/不婚的单身青年（30+）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核心问题/变量：晚婚不婚原因（经济/观念）、单身生活方式（独居消费）、不婚压力（催婚）、单身养老规划、社交状态（单身圈层）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晚婚不婚原因（经济/观念）、单身生活方式（独居消费）（社交状态（单身圈层））之间存在可检验的关系，且受群体差异（年龄/收入/地区/身份）调节（待验证）；H2：晚婚不婚原因（经济/观念）、单身生活方式（独居消费）是影响社交状态（单身圈层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🔶人口与婚育观调查（统计局、民政部须下载核验）；🔶单身经济报告（行业报告须下载核验）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单身青年问卷+社会学者访谈；获奖黑名单核对：近三年无晚婚不婚获奖题（区别于137不婚族泛题、563单身经济，聚焦30+单身生活）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🔶人口与婚育观调查（统计局、民政部须下载核验）；🔶单身经济报告（行业报告须下载核验）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