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1359. “老年人婚恋，夕阳红相亲”——老年人婚恋需求调查与再婚阻碍因素研究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研究对象：参与老年人婚恋（黄昏恋/再婚）的老年人及其子女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核心问题/变量：黄昏恋需求（陪伴/照顾）、子女态度（财产顾虑）、老年婚恋平台（相亲群）、再婚财产约定、同居不领证、孤独缓解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昏恋需求（陪伴/照顾）、子女态度（财产顾虑）（孤独缓解）之间存在可检验的关系，且受群体差异（年龄/收入/地区/身份）调节（待验证）；H2：黄昏恋需求（陪伴/照顾）、子女态度（财产顾虑）是影响孤独缓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🔶老年人权益与婚恋服务政策（民政部、老龄办）；🔶老年婚恋报道（须下载核验）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老年社群问卷+婚恋服务机构访谈；获奖黑名单核对：近三年无老年人婚恋获奖题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🔶老年人权益与婚恋服务政策（民政部、老龄办）；🔶老年婚恋报道（须下载核验）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