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277. “Z世代婚礼，简约不简单”——Z世代婚礼的仪式偏好与消费观念研究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研究对象：25—35岁已婚/筹备婚礼的新人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核心问题/变量：婚礼预算分配、仪式偏好（传统vs简约vs旅行）、情感化定制需求、AI元素接受、消费观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H1：婚礼预算分配、仪式偏好（传统vs简约vs旅行）显著影响消费观（待验证）；H2：不同人群（年龄/收入/城市等级）在上述关系中存在调节作用（待验证）。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✅超七成新人要求婚礼融入个人故事线（AI恋爱时间轴/定制主题曲/回忆互动墙）（行业🔶）；✅长沙简约婚礼占比68%、仅小型答谢宴占23%；✅婚礼从"套模板堆物料"转向"情感内核+专属创意"（中研普华）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婚庆公司/婚礼社群渠道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✅超七成新人要求婚礼融入个人故事线（AI恋爱时间轴/定制主题曲/回忆互动墙）（行业🔶）；✅长沙简约婚礼占比68%、仅小型答谢宴占23%；✅婚礼从"套模板堆物料"转向"情感内核+专属创意"（中研普华）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