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367. “轻相亲，新样态”——青年“轻相亲”渠道偏好与付费意愿研究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研究对象：用过相亲平台/参加过相亲活动的 22—35 岁单身青年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核心问题/变量：渠道选择（严肃平台/视频相亲/兴趣社交）、费用与付费项目、体验与翻车经历、效率感知、脱单结果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H1：渠道选择（严肃平台/视频相亲/兴趣社交）、费用与付费项目显著影响脱单结果（待验证）；H2：不同人群（年龄/收入/城市等级）在上述关系中存在调节作用（待验证）。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✅2026线上婚恋垂直分层为四大类（严肃奔婚/高知垂直/真人视频/年轻兴趣）；✅政府工作报告：规范平台身份审核、加大普惠性婚恋服务投入、提供免费婚恋咨询；🔶"相亲角""轻相亲"现象（媒体）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婚恋平台用户社群+相亲角现场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✅2026线上婚恋垂直分层为四大类（严肃奔婚/高知垂直/真人视频/年轻兴趣）；✅政府工作报告：规范平台身份审核、加大普惠性婚恋服务投入、提供免费婚恋咨询；🔶"相亲角""轻相亲"现象（媒体）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