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368. “彩礼，结婚之门的坎”——彩礼负担认知与婚俗改革支持度研究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选题规范化（呆塔大师兄（微信：a237658765））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建议地区：农村（可按省/市细化抽样框）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确定行业：19_婚恋与社交（选择理由：贴合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研究对象：适婚青年及家长（农村/城市）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核心问题/变量：彩礼金额与负担感知、地区差异、高价彩礼成因、婚俗改革知晓（民政部婚俗改革实验区）、态度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H1：彩礼金额与负担感知、地区差异（态度）之间存在可检验的关系，且受群体差异（年龄/收入/地区/身份）调节（待验证）；H2：彩礼金额与负担感知、地区差异是影响态度的关键因素（待验证）。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✅北师大与小红书《网络社会与青年婚恋观调查报告（2026）》：彩礼/嫁妆为青年感知第三大经济压力（53.4%）；✅62.1%受访者自认经济"完全没有准备"或"准备不足"；✅民政部婚俗改革实验区（背景）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社区/村镇渠道+线上问卷（匿名）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✅北师大与小红书《网络社会与青年婚恋观调查报告（2026）》：彩礼/嫁妆为青年感知第三大经济压力（53.4%）；✅62.1%受访者自认经济"完全没有准备"或"准备不足"；✅民政部婚俗改革实验区（背景）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