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036. “搭子社交，轻量陪伴”——青年“搭子”社交形态参与行为与情感需求研究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研究对象：使用"饭搭子/旅游搭子/运动搭子"等社交的青年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核心问题/变量：社交需求、陪伴质量、参与频率、情感满足、依赖程度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H1：社交需求、陪伴质量（依赖程度）之间存在可检验的关系，且受群体差异（年龄/收入/地区/身份）调节（待验证）；H2：社交需求、陪伴质量是影响依赖程度的关键因素（待验证）。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