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370. “婚礼预算，钱花哪了”——青年婚礼消费结构与简约婚礼接受度研究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建议地区：长沙（可按省/市细化抽样框）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研究对象：近两年举办婚礼的新人家庭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核心问题/变量：婚礼总花费、项目占比（宴席/婚庆/婚纱/珠宝/旅游）、预算控制、简约婚礼接受、家庭支持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婚礼总花费、项目占比（宴席/婚庆/婚纱/珠宝/旅游）（家庭支持）之间存在可检验的关系，且受群体差异（年龄/收入/地区/身份）调节（待验证）；H2：婚礼总花费、项目占比（宴席/婚庆/婚纱/珠宝/旅游）是影响家庭支持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✅长沙简约婚礼占比68%（第十批证据）；✅超七成新人要求婚礼融入个人故事线（第十批证据）；🔶结婚平均花费（婚礼纪/婚博会数据需核验）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婚庆公司/婚礼社群渠道；与277题（Z世代简约婚礼）区分：聚焦成本结构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✅长沙简约婚礼占比68%（第十批证据）；✅超七成新人要求婚礼融入个人故事线（第十批证据）；🔶结婚平均花费（婚礼纪/婚博会数据需核验）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