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510. “职业伴娘，租赁的婚礼陪伴”——职业伴娘伴郎服务雇佣动机与价格接受度调查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确定行业：19_婚恋与社交（选择理由：贴合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研究对象：聘请职业伴娘伴郎的新人、从业者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核心问题/变量：雇佣动机（朋友难凑/避免人情/专业流程）、服务内容与价格接受度、信任与边界、对“仪式外包”的争议认知、从业者职业化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雇佣动机（朋友难凑/避免人情/专业流程）、服务内容与价格接受度（从业者职业化）之间存在可检验的关系，且受群体差异（年龄/收入/地区/身份）调节（待验证）；H2：雇佣动机（朋友难凑/避免人情/专业流程）、服务内容与价格接受度是影响从业者职业化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🔶职业伴娘新职业报道与平台数据（央媒、招聘平台，须下载核验）；✅新职业发布与认定（人社部）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婚庆渠道+从业者社群问卷访谈；与278（旅拍）区分：聚焦人情外包服务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🔶职业伴娘新职业报道与平台数据（央媒、招聘平台，须下载核验）；✅新职业发布与认定（人社部）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