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515. “自婚，自己嫁给自己”——青年‘自婚仪式’自我认同消费研究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研究对象：了解或举办过“自婚”（与自己结婚/仪式庆祝）的青年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核心问题/变量：自婚动机（自我接纳/仪式补偿/对抗婚恋焦虑）、仪式消费（场地/摄影/戒指）、社会反馈与自我认同变化、与不婚选择的关联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自婚动机（自我接纳/仪式补偿/对抗婚恋焦虑）、仪式消费（场地/摄影/戒指）（与不婚选择的关联）之间存在可检验的关系，且受群体差异（年龄/收入/地区/身份）调节（待验证）；H2：自婚动机（自我接纳/仪式补偿/对抗婚恋焦虑）、仪式消费（场地/摄影/戒指）是影响与不婚选择的关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🔶“自婚”现象与当事人案例报道（媒体，须下载核验）；✅Z世代婚恋观数据（已有线索：婚恋题组）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社交平台（小红书/微博）招募+仪式服务商访谈；区别于277（传统婚礼简化）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🔶“自婚”现象与当事人案例报道（媒体，须下载核验）；✅Z世代婚恋观数据（已有线索：婚恋题组）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