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643. “婚礼堂一站式，省心婚礼”——一站式婚礼堂选择动机与隐形消费感知调查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研究对象：选择婚礼堂/一站式婚礼服务的新人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核心问题/变量：婚礼堂选择动机（省心/性价比）、套餐内容与隐形消费、场景布置满意度、与传统婚庆对比、服务投诉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H1：婚礼堂选择动机（省心/性价比）、套餐内容与隐形消费显著影响服务投诉（待验证）；H2：不同人群（年龄/收入/城市等级）在上述关系中存在调节作用（待验证）。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🔶婚礼堂业态报道（婚庆媒体须下载核验）；✅婚庆服务规范（商务部）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婚礼堂渠道问卷+经营者访谈；获奖黑名单核对：近三年无婚礼堂获奖题（区别于643旧版编号冲突已调整）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🔶婚礼堂业态报道（婚庆媒体须下载核验）；✅婚庆服务规范（商务部）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