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662. “伴手礼经济，喜事分享”——新婚人群婚礼伴手礼定制需求与支付意愿调查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研究对象：筹备婚礼的新人及收到伴手礼的宾客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核心问题/变量：伴手礼预算与品类（定制/文创）、个性化定制意愿、宾客反馈、与份子钱文化关联、环保趋势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伴手礼预算与品类（定制/文创）、个性化定制意愿（环保趋势）之间存在可检验的关系，且受群体差异（年龄/收入/地区/身份）调节（待验证）；H2：伴手礼预算与品类（定制/文创）、个性化定制意愿是影响环保趋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🔶伴手礼市场报道（婚庆媒体须下载核验）；✅婚庆消费促进政策（商务部）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婚庆渠道问卷+伴手礼商家访谈；获奖黑名单核对：近三年无伴手礼获奖题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🔶伴手礼市场报道（婚庆媒体须下载核验）；✅婚庆消费促进政策（商务部）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