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767. “彩礼新规落地，天价彩礼降温”——彩礼新规知晓度与婚嫁消费态度研究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研究对象：近年结婚/订婚的年轻人及其家庭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核心问题/变量：彩礼金额与区域差异、新规（返还规则）知晓、婚嫁消费结构（彩礼/房车/婚礼）、观念转变、家庭协商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H1：彩礼金额与区域差异、新规（返还规则）知晓显著影响家庭协商（待验证）；H2：不同人群（年龄/收入/城市等级）在上述关系中存在调节作用（待验证）。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✅彩礼纠纷司法解释（最高法）；🔶彩礼新规案例报道（须下载核验）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新婚人群问卷+婚庆/律师访谈；获奖黑名单核对：近三年无彩礼新规获奖题（区别于368彩礼负担）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✅彩礼纠纷司法解释（最高法）；🔶彩礼新规案例报道（须下载核验）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