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897. “父辈催婚压力，青年现状”——青年催婚压力与代际沟通需求调查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研究对象：被父母催婚的25-35岁单身青年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核心问题/变量：催婚频次与方式（饭桌/相亲安排）、婚恋压力（焦虑/回避）、代际观念冲突、应对策略（敷衍/沟通）、自我婚恋节奏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催婚频次与方式（饭桌/相亲安排）、婚恋压力（焦虑/回避）（自我婚恋节奏）之间存在可检验的关系，且受群体差异（年龄/收入/地区/身份）调节（待验证）；H2：催婚频次与方式（饭桌/相亲安排）、婚恋压力（焦虑/回避）是影响自我婚恋节奏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🔶青年婚恋观念调查（共青团、媒体须下载核验）；✅婚育友好社会政策（卫健委）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青年社群问卷；获奖黑名单核对：近三年无催婚获奖题（区别于36/367搭子相亲类）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🔶青年婚恋观念调查（共青团、媒体须下载核验）；✅婚育友好社会政策（卫健委）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