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1015. “华流出海，长剧出海新篇”——国产长剧出海文化接受度与付费观看意愿调查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确定行业：20_传媒娱乐与数字内容（选择理由：贴合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研究对象：观看中国长剧/综艺（海外播出）的海外观众与出海从业者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核心问题/变量：出海内容类型（古装/都市）、海外平台（Netflix/Disney+）排播、文化接受度（字幕/本土化）、出海收益模式、华流IP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出海内容类型（古装/都市）、海外平台（Netflix/Disney+）排播（华流IP）之间存在可检验的关系，且受群体差异（年龄/收入/地区/身份）调节（待验证）；H2：出海内容类型（古装/都市）、海外平台（Netflix/Disney+）排播是影响华流IP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🔶视听内容出海政策（广电总局）；🔶中国剧集出海数据（行业报告须下载核验）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海外观众问卷+出海发行公司访谈；获奖黑名单核对：近三年无长剧出海获奖题（区别于184短剧出海）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🔶视听内容出海政策（广电总局）；🔶中国剧集出海数据（行业报告须下载核验）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