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1031. “高铁静音车厢，一路安静”——高铁静音车厢选择偏好与乘坐满意度调查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确定行业：20_传媒娱乐与数字内容（选择理由：贴合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研究对象：乘坐过/选择高铁静音车厢的旅客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核心问题/变量：静音车厢选择动机（办公/休息）、票价相同下的选择、噪音治理效果（广播/外放）、规则执行（乘务提醒）、满意度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静音车厢选择动机（办公/休息）、票价相同下的选择（满意度）之间存在可检验的关系，且受群体差异（年龄/收入/地区/身份）调节（待验证）；H2：静音车厢选择动机（办公/休息）、票价相同下的选择是影响满意度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🔶铁路运输服务规范（国铁集团）；🔶静音车厢扩围报道（须下载核验）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高铁旅客问卷+铁路部门访谈；获奖黑名单核对：近三年无静音车厢获奖题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🔶铁路运输服务规范（国铁集团）；🔶静音车厢扩围报道（须下载核验）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