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1263. “互动微短剧，选择决定结局”——互动微短剧（互动式）消费研究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研究对象：体验互动微短剧（选择分支剧情）的用户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核心问题/变量：互动短剧玩法（分支选择/多结局）、沉浸感、付费解锁（多结局收费）、技术（AI生成分支）、复玩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H1：互动短剧玩法（分支选择/多结局）、沉浸感显著影响复玩（待验证）；H2：不同人群（年龄/收入/城市等级）在上述关系中存在调节作用（待验证）。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🔶互动视听内容规范（广电总局）；🔶互动短剧市场数据（须下载核验）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互动短剧用户问卷+制作公司访谈；获奖黑名单核对：近三年无互动短剧获奖题（区别于812互动剧泛题、185 AI短剧，聚焦微短剧互动化）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🔶互动视听内容规范（广电总局）；🔶互动短剧市场数据（须下载核验）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