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1269. “素人综艺，普通人上电视”——素人综艺参与意愿与出镜动机调查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研究对象：参加素人综艺/真人秀（观察类）的参与者与观众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核心问题/变量：素人综艺形式（恋爱/职场/生活）、报名参与动机、出镜体验与网暴风险、观众真实感、素人后续发展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素人综艺形式（恋爱/职场/生活）、报名参与动机（素人后续发展）之间存在可检验的关系，且受群体差异（年龄/收入/地区/身份）调节（待验证）；H2：素人综艺形式（恋爱/职场/生活）、报名参与动机是影响素人后续发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🔶综艺节目内容规范（广电总局）；🔶素人综艺数据（须下载核验）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参与者问卷+综艺制作方访谈；获奖黑名单核对：近三年无素人综艺获奖题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🔶综艺节目内容规范（广电总局）；🔶素人综艺数据（须下载核验）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