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181. “免费短剧，刷不停”——免费微短剧用户使用行为与上瘾感知调查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研究对象：使用免费微短剧App（红果/河马剧场等）的 18—60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核心问题/变量：使用时长（日均）、上瘾感知、广告容忍度、付费转化、内容偏好、"杀时间"vs"杀精力"评价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H1：使用时长（日均）、上瘾感知显著影响"杀时间"vs"杀精力"评价（待验证）；H2：不同人群（年龄/收入/城市等级）在上述关系中存在调节作用（待验证）。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红果短剧日活1.68亿、超腾讯视频/爱奇艺/优酷/芒果TV四家之和、月人均单日使用125分钟、广告填充率超90%（新浪财经/澎湃）；✅2026中国微短剧市场预计破1210亿元（《中国微短剧发展报告2026》）；✅微短剧用户8.51亿（占网民66.7%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短剧用户社群+线上问卷；现象前沿（红果超爱优腾芒之和）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红果短剧日活1.68亿、超腾讯视频/爱奇艺/优酷/芒果TV四家之和、月人均单日使用125分钟、广告填充率超90%（新浪财经/澎湃）；✅2026中国微短剧市场预计破1210亿元（《中国微短剧发展报告2026》）；✅微短剧用户8.51亿（占网民66.7%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