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182. “短剧越刷越'降智'？”——微短剧内容质量评价与付费意愿调查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研究对象：刷过微短剧且关注内容质量的观众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核心问题/变量：内容质量评价（剧情/演技/价值观）、"降智"争议认同、监管期待、弃剧行为、付费意愿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H1：内容质量评价（剧情/演技/价值观）、"降智"争议认同显著影响付费意愿（待验证）；H2：不同人群（年龄/收入/城市等级）在上述关系中存在调节作用（待验证）。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✅"红果短剧 降智"登上百度热搜（2026-10）；✅行业爆款率仅0.16%、仅2%参与者盈利（《中国微短剧发展报告2026》）；✅2026年7月《微短剧发展管理办法》发布、微短剧进入法治化监管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线上问卷+"红果短剧 降智"热搜话题内容分析；话题自带流量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✅"红果短剧 降智"登上百度热搜（2026-10）；✅行业爆款率仅0.16%、仅2%参与者盈利（《中国微短剧发展报告2026》）；✅2026年7月《微短剧发展管理办法》发布、微短剧进入法治化监管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