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183. “为短剧买单，值不值”——微短剧付费、广告变现模式消费者接受度研究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研究阶段：mid（中期：消费意愿及影响因素）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确定行业：20_传媒娱乐与数字内容（选择理由：贴合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研究对象：为微短剧付过费（单集/会员）或常看广告模式的用户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核心问题/变量：付费场景、金额接受、免费+广告vs付费模式偏好、冲动付费后悔、复购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H1：付费场景、金额接受显著影响复购（待验证）；H2：不同人群（年龄/收入/城市等级）在上述关系中存在调节作用（待验证）。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✅免费微短剧2026年约573亿元（+8%）、广告变现取代单一付费模式（《中国微短剧发展报告2026》/财联社）；✅红果广告填充率超90%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短剧平台用户渠道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✅免费微短剧2026年约573亿元（+8%）、广告变现取代单一付费模式（《中国微短剧发展报告2026》/财联社）；✅红果广告填充率超90%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