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186. “虚拟偶像，次元破壁”——VTuber粉丝消费行为与情感连接调查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研究对象：关注虚拟主播/VTuber（A-SOUL、VR圈等）或购买其衍生品的粉丝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核心问题/变量：入坑动机（人设/陪伴/直播）、打赏与会员消费、衍生品支出、与真人偶像对比、情感连接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H1：入坑动机（人设/陪伴/直播）、打赏与会员消费显著影响情感连接（待验证）；H2：不同人群（年龄/收入/城市等级）在上述关系中存在调节作用（待验证）。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✅中国大陆虚拟主播IP衍生品市场2025年约78.5亿元、2026年预计104.3亿元；✅AI虚拟主播行业2026年突破千亿元级（行业测算🔶）；🔶全球虚拟网红市场2025年5.49亿美元（CAGR 11.2%）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B站VTuber粉丝群/虚拟偶像超话渠道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✅中国大陆虚拟主播IP衍生品市场2025年约78.5亿元、2026年预计104.3亿元；✅AI虚拟主播行业2026年突破千亿元级（行业测算🔶）；🔶全球虚拟网红市场2025年5.49亿美元（CAGR 11.2%）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