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261. “实体书店，逆势回归”——实体书店的选择因素与复访意愿研究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研究对象：常去实体书店/城市书房购书或自习的读者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核心问题/变量：书店消费（购书/文创/咖啡）、选择因素（颜值/活动/选品）、与网购对比、停留时长、复访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书店消费（购书/文创/咖啡）、选择因素（颜值/活动/选品）（复访）之间存在可检验的关系，且受群体差异（年龄/收入/地区/身份）调节（待验证）；H2：书店消费（购书/文创/咖啡）、选择因素（颜值/活动/选品）是影响复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🔶实体书店回暖（开卷数据需下载核对）；✅公共文化服务政策背景；✅"书店+咖啡+活动"复合经营模式（媒体）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书店/书房现场问卷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🔶实体书店回暖（开卷数据需下载核对）；✅公共文化服务政策背景；✅"书店+咖啡+活动"复合经营模式（媒体）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