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262. “有声书、播客，耳朵经济”——音频知识消费的内容偏好与会员付费意愿研究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研究对象：听有声书/播客的 18—45 岁用户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核心问题/变量：收听场景（通勤/睡前/家务）、内容偏好（知识/娱乐/疗愈）、会员付费、时长、满意度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H1：收听场景（通勤/睡前/家务）、内容偏好（知识/娱乐/疗愈）显著影响满意度（待验证）；H2：不同人群（年龄/收入/城市等级）在上述关系中存在调节作用（待验证）。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✅中国音乐、广播及播客总收入2025—2030年CAGR 6.2%、2030年达87亿美元；✅消费动机转向兴趣疗愈与情感共鸣（行业🔶）；🔶有声书市场规模（行业报告需核验）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喜马拉雅/小宇宙等音频平台用户渠道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✅中国音乐、广播及播客总收入2025—2030年CAGR 6.2%、2030年达87亿美元；✅消费动机转向兴趣疗愈与情感共鸣（行业🔶）；🔶有声书市场规模（行业报告需核验）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