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499. “黑胶回潮，复古聆听”——黑胶唱片、复古音乐消费偏好与购买意愿研究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研究对象：购买黑胶/磁带/CD/随身听的音乐爱好者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核心问题/变量：收藏动机（音质/仪式感/怀旧）、购买渠道（中古/线上）、播放设备、价格、与流媒体共存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H1：收藏动机（音质/仪式感/怀旧）、购买渠道（中古/线上）显著影响与流媒体共存（待验证）；H2：不同人群（年龄/收入/城市等级）在上述关系中存在调节作用（待验证）。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🔶全球黑胶销量创新高（RIAA数据需核验）；✅中国音乐产业（音集协《中国音乐产业发展报告》🔶需下载）；✅播客/耳机音频消费6.2% CAGR（第九轮证据）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黑胶店/音乐节市集渠道；与411题（怀旧消费）区分：聚焦音乐载体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🔶全球黑胶销量创新高（RIAA数据需核验）；✅中国音乐产业（音集协《中国音乐产业发展报告》🔶需下载）；✅播客/耳机音频消费6.2% CAGR（第九轮证据）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