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519. “手写信，慢社交回潮”——手写书信慢社交服务参与动机与付费意愿调查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确定行业：20_传媒娱乐与数字内容（选择理由：贴合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研究对象：购买手写信代写/书信慢递、参加“陌生人书信”活动的青年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核心问题/变量：参与动机（仪式感/数字倦怠/情感深度）、为手写服务付费意愿、与即时通讯的体验对比、书信社交满意度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H1：参与动机（仪式感/数字倦怠/情感深度）、为手写服务付费意愿显著影响书信社交满意度（待验证）；H2：不同人群（年龄/收入/城市等级）在上述关系中存在调节作用（待验证）。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🔶手写信/书信社交回潮报道（媒体须下载核验）；✅数字幸福与青年文化政策导向（已有线索）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书信活动/文创平台社群问卷；区别于262（有声书）数字内容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🔶手写信/书信社交回潮报道（媒体须下载核验）；✅数字幸福与青年文化政策导向（已有线索）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