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665. “数字藏品退潮，元宇宙冷静”——数字藏品与元宇宙退潮期未满足需求及二次入场意愿调查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研究对象：曾购买数字藏品或体验元宇宙产品的用户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核心问题/变量：数字藏品购买动机与亏损经历、平台跑路维权、元宇宙产品（VR/虚拟空间）体验落差、行业退潮认知、二次入场意愿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H1：数字藏品购买动机与亏损经历、平台跑路维权显著影响二次入场意愿（待验证）；H2：不同人群（年龄/收入/城市等级）在上述关系中存在调节作用（待验证）。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🔶数字藏品退潮报道（科技媒体须下载核验）；✅NFT与元宇宙监管文件（金融监管总局等）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数字藏品社群问卷+平台访谈；获奖黑名单核对：近三年无数字藏品获奖题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🔶数字藏品退潮报道（科技媒体须下载核验）；✅NFT与元宇宙监管文件（金融监管总局等）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