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812. “互动剧互动短剧，选择影响结局”——互动影游（互动剧、互动短剧）消费研究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研究对象：体验互动剧/互动短剧（选择分支）的观众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核心问题/变量：互动内容消费动机（沉浸/控制感）、付费解锁分支、玩法新鲜度衰减、与AI生成剧情结合、平台与制作方、复看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H1：互动内容消费动机（沉浸/控制感）、付费解锁分支显著影响复看（待验证）；H2：不同人群（年龄/收入/城市等级）在上述关系中存在调节作用（待验证）。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🔶互动剧新形态报道（广电媒体须下载核验）；✅网络剧片规范（广电总局）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互动剧观众问卷+制作方访谈；获奖黑名单核对：近三年无互动剧获奖题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🔶互动剧新形态报道（广电媒体须下载核验）；✅网络剧片规范（广电总局）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