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1041. “无障碍网络，云端共融”——视障与老年用户网站无障碍使用需求与满意度调查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研究对象：使用兼容模式/无障碍功能的视障、老年用户及开发者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核心问题/变量：网站App无障碍功能使用（读屏/大字/语音）、完成事项难度（支付/挂号）、改造需求、企业义务感知、满意度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站App无障碍功能使用（读屏/大字/语音）、完成事项难度（支付/挂号）（满意度）之间存在可检验的关系，且受群体差异（年龄/收入/地区/身份）调节（待验证）；H2：网站App无障碍功能使用（读屏/大字/语音）、完成事项难度（支付/挂号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✅无障碍环境建设法（全国人大）；🔶App无障碍改造评测数据（须下载核验）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残障组织/社区问卷+互联网企业访谈；获奖黑名单核对：近三年无信息无障碍网络获奖题（区别于373无障阅读，聚焦全场景网络服务）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✅无障碍环境建设法（全国人大）；🔶App无障碍改造评测数据（须下载核验）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