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115. “AI 换脸，防不胜防”——深度伪造（Deepfake）风险认知与公众防护行为研究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研究对象：18—60岁互联网用户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 换脸/声音克隆认知度、风险感知（诈骗/谣言/侵权）、防护行为（验证/举报/设置）、政策诉求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 换脸/声音克隆认知度、风险感知（诈骗/谣言/侵权）（政策诉求）之间存在可检验的关系，且受群体差异（年龄/收入/地区/身份）调节（待验证）；H2：AI 换脸/声音克隆认知度、风险感知（诈骗/谣言/侵权）是影响政策诉求的关键因素（待验证）。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 换脸诈骗案件频发（公安部/媒体公开案例，需引原文）；✅《人工智能生成合成内容标识办法》等监管文件（🔶具体文号待核验）；✅第二批20题"AIGC 内容标识认知"可作姊妹篇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线上问卷广撒网；可配合反诈宣传渠道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 换脸诈骗案件频发（公安部/媒体公开案例，需引原文）；✅《人工智能生成合成内容标识办法》等监管文件（🔶具体文号待核验）；✅第二批20题"AIGC 内容标识认知"可作姊妹篇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