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1313. “15分钟便民生活圈，出门样样有”——一刻钟便民生活圈服务设施使用行为与改进建议调查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研究对象：生活在15分钟便民生活圈（商圈建设）的社区居民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核心问题/变量：便民生活圈配置（菜场/医疗/养老/维修）、步行可达性、业态完善度、居民使用率、改造满意度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便民生活圈配置（菜场/医疗/养老/维修）、步行可达性（改造满意度）之间存在可检验的关系，且受群体差异（年龄/收入/地区/身份）调节（待验证）；H2：便民生活圈配置（菜场/医疗/养老/维修）、步行可达性是影响改造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🔶一刻钟便民生活圈建设政策（商务部）；🔶试点城市数据（须下载核验）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试点社区问卷+商务部门访谈；获奖黑名单核对：近三年无15分钟便民生活圈获奖题（区别于969十五分钟生活圈泛题，聚焦步行消费可达）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🔶一刻钟便民生活圈建设政策（商务部）；🔶试点城市数据（须下载核验）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