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1314. “预付卡新规，跑路难了”——预付卡消费意愿与资金存管新规信任调查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研究对象：使用预付卡（健身/美容/教培）并关注新规的消费者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核心问题/变量：预付卡跑路经历（商家倒闭）、资金存管新规（银行专户）、单次限额（办卡金额）、消费维权（退费）、办卡信心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付卡跑路经历（商家倒闭）、资金存管新规（银行专户）（办卡信心）之间存在可检验的关系，且受群体差异（年龄/收入/地区/身份）调节（待验证）；H2：预付卡跑路经历（商家倒闭）、资金存管新规（银行专户）是影响办卡信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🔶单用途预付卡监管新规（国务院、市场监管总局）；🔶预付卡纠纷数据（消协须下载核验）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消费者问卷+市场监管部门访谈；获奖黑名单核对：近三年无预付卡新规获奖题（区别于476预付卡泛题、322健身房跑路，聚焦新规后）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🔶单用途预付卡监管新规（国务院、市场监管总局）；🔶预付卡纠纷数据（消协须下载核验）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