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1316. “档案数字化，一网通办好”——政务服务一网通办使用意愿与办事体验满意度调查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研究对象：使用一网通办/数字档案（跨省通办）办事的市民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核心问题/变量：一网通办事项（户籍/社保/公积金）、跨省通办（异地办理）、材料免提交（电子证照）、办理时长、老年人帮办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网通办事项（户籍/社保/公积金）、跨省通办（异地办理）（老年人帮办）之间存在可检验的关系，且受群体差异（年龄/收入/地区/身份）调节（待验证）；H2：一网通办事项（户籍/社保/公积金）、跨省通办（异地办理）是影响老年人帮办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🔶数字政府与一网通办政策（国务院）；🔶一网通办数据（政务部门须下载核验）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办事市民问卷+政务服务部门访谈；获奖黑名单核对：近三年无一网通办获奖题（区别于328/397数字政务泛题，聚焦跨省通办体验）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🔶数字政府与一网通办政策（国务院）；🔶一网通办数据（政务部门须下载核验）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