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1317. “社区咖啡角，老年人新社交场”——社区公共空间（咖啡角/活动室）银发使用行为与孤独缓解效果调查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研究对象：使用社区公共空间（咖啡角/棋牌室/活动室）的老年人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核心问题/变量：社区公共空间功能（会客/活动）、银发使用频次、空间运营（第三方入驻）、孤独缓解、空间改造需求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社区公共空间功能（会客/活动）、银发使用频次（空间改造需求）之间存在可检验的关系，且受群体差异（年龄/收入/地区/身份）调节（待验证）；H2：社区公共空间功能（会客/活动）、银发使用频次是影响空间改造需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🔶社区公共服务空间建设政策（民政部、住建部）；🔶社区空间运营案例（须下载核验）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社区空间问卷+运营方访谈；获奖黑名单核对：近三年无社区咖啡角获奖题（区别于1085社区功能空间泛题，聚焦银发社交场景）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🔶社区公共服务空间建设政策（民政部、住建部）；🔶社区空间运营案例（须下载核验）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