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1320. “AED进小区，救命黄金4分钟”——AED公众急救使用意愿与急救技能培训需求调查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研究对象：小区/公共场所配置AED的居民与物业、急救培训参与者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核心问题/变量：AED配置率（公共场所）、居民急救技能（心肺复苏培训）、AED使用意愿（敢不敢用）、扫码取用、急救响应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ED配置率（公共场所）、居民急救技能（心肺复苏培训）（急救响应）之间存在可检验的关系，且受群体差异（年龄/收入/地区/身份）调节（待验证）；H2：AED配置率（公共场所）、居民急救技能（心肺复苏培训）是影响急救响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🔶公共场所AED配置与急救培训政策（卫健委、红十字会）；🔶AED配置数据（须下载核验）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小区/商场问卷+红十字会访谈；获奖黑名单核对：近三年无AED配置获奖题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🔶公共场所AED配置与急救培训政策（卫健委、红十字会）；🔶AED配置数据（须下载核验）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