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1321. “噪音治理，广场舞不扰民”——城市噪音治理（广场舞、施工）居民感知研究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研究对象：受生活噪音（广场舞/装修/施工）影响的居民及广场舞队伍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核心问题/变量：噪音投诉（12345/环保）、广场舞场地与音量治理（定向音响）、装修时段规定、施工噪音（夜间）、治理满意度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噪音投诉（12345/环保）、广场舞场地与音量治理（定向音响）（治理满意度）之间存在可检验的关系，且受群体差异（年龄/收入/地区/身份）调节（待验证）；H2：噪音投诉（12345/环保）、广场舞场地与音量治理（定向音响）是影响治理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🔶噪声污染防治法实施（生态环境部）；🔶噪音投诉数据（须下载核验）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居民问卷+城管/生态环境部门访谈；获奖黑名单核对：近三年无城市噪音治理获奖题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🔶噪声污染防治法实施（生态环境部）；🔶噪音投诉数据（须下载核验）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