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301. “每周三小时，游戏限时令”——未成年人防沉迷新政的家长认知与效果评价调查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 6—18 岁未成年子女的家长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核心问题/变量：新政知晓（每周3小时/时段限制）、配合执行度、孩子对抗行为（哭闹/转移）、对防沉迷效果评价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政知晓（每周3小时/时段限制）、配合执行度（对防沉迷效果评价）之间存在可检验的关系，且受群体差异（年龄/收入/地区/身份）调节（待验证）；H2：新政知晓（每周3小时/时段限制）、配合执行度是影响对防沉迷效果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✅2026年暑期起未成年人游戏每周五、六、日20:00—21:00可登录、每周总时长≤3小时（腾讯/网易统一执行）；✅《未成年人网络保护条例》为核心的制度体系；✅"防沉迷是否真有效"社会热议（媒体）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中小学家长群/社区渠道；议题贴近老师评委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✅2026年暑期起未成年人游戏每周五、六、日20:00—21:00可登录、每周总时长≤3小时（腾讯/网易统一执行）；✅《未成年人网络保护条例》为核心的制度体系；✅"防沉迷是否真有效"社会热议（媒体）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