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302. “租号买号，绕开防沉迷”——未成年人绕过防沉迷的风险认知与治理建议调查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研究对象：了解或参与过租号/买号/代验的未成年游戏玩家及家长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核心问题/变量：绕过方式知晓、发生频率、平台打击感知（AI声纹识别）、治理建议、风险认知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H1：绕过方式知晓、发生频率（风险认知）之间存在可检验的关系，且受群体差异（年龄/收入/地区/身份）调节（待验证）；H2：绕过方式知晓、发生频率是影响风险认知的关键因素（待验证）。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✅腾讯"AI双引擎防沉迷"用声纹、年龄识别打击"代过人脸"（央广网2026-07-04）；✅记者实测：租号买号、家长手机一键登录仍是主要漏洞、或引发免密支付盗刷；✅"破解防沉迷"均为诈骗（官方提示）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游戏社群/校园渠道匿名问卷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✅腾讯"AI双引擎防沉迷"用声纹、年龄识别打击"代过人脸"（央广网2026-07-04）；✅记者实测：租号买号、家长手机一键登录仍是主要漏洞、或引发免密支付盗刷；✅"破解防沉迷"均为诈骗（官方提示）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