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304. “刷不完的短视频，看得住的娃”——未成年人短视频使用时长与家长管控行为研究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研究对象：有未成年子女的家长及 12—17 岁青少年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核心问题/变量：观看时长、内容类型（游戏/搞笑/直播）、青少年模式知晓与使用、家长管控、短视频沉迷担忧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观看时长、内容类型（游戏/搞笑/直播）（短视频沉迷担忧）之间存在可检验的关系，且受群体差异（年龄/收入/地区/身份）调节（待验证）；H2：观看时长、内容类型（游戏/搞笑/直播）是影响短视频沉迷担忧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✅《未成年人网络保护条例》要求网络产品未成年人模式；✅短视频用户规模（CNNIC：短视频用户超10亿🔶）；🔶未成年人短视频使用调查（共青团中央报告需下载）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学校/社区渠道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✅《未成年人网络保护条例》要求网络产品未成年人模式；✅短视频用户规模（CNNIC：短视频用户超10亿🔶）；🔶未成年人短视频使用调查（共青团中央报告需下载）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