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372. “盲人按摩师，专业职称之路”——盲人医疗按摩人员执业现状与就业支持需求研究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研究对象：盲人按摩从业者、培训机构、残联工作人员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核心问题/变量：执业资格获取、就业渠道、收入、职称晋升、社会认可、support需求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H1：执业资格获取、就业渠道（support需求）之间存在可检验的关系，且受群体差异（年龄/收入/地区/身份）调节（待验证）；H2：执业资格获取、就业渠道是影响support需求的关键因素（待验证）。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全国盲人医疗按摩人员考试（中国残联国家级统考）：9月12-13日、31省+兵团2150名盲人报名、85个笔试考点；✅合格者取得盲人医疗按摩人员初级专业职务任职资格；✅盲人按摩纳入医保支付讨论（媒体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盲人按摩机构/残联渠道；公益型选题增分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全国盲人医疗按摩人员考试（中国残联国家级统考）：9月12-13日、31省+兵团2150名盲人报名、85个笔试考点；✅合格者取得盲人医疗按摩人员初级专业职务任职资格；✅盲人按摩纳入医保支付讨论（媒体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