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373. “听见世界，无障碍阅读”——视障群体听书使用行为与无障碍服务改进需求研究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研究对象：视障人士及公益机构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核心问题/变量：阅读渠道（听书/盲文书/电子）、障碍（版权/工具/成本）、听书使用、无障碍App评价、改进需求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阅读渠道（听书/盲文书/电子）、障碍（版权/工具/成本）（改进需求）之间存在可检验的关系，且受群体差异（年龄/收入/地区/身份）调节（待验证）；H2：阅读渠道（听书/盲文书/电子）、障碍（版权/工具/成本）是影响改进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✅"视障群体无障碍阅读版权服务联合体"2024年4月成立（中宣部版权管理局、中国残联宣文部推动）；✅语音"听书"/大字体/高对比度/盲文电子书/触觉反馈阅读器普及；✅无障碍电影旁白解说实践（伊犁州案例）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盲协/图书馆视障阅览室渠道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✅"视障群体无障碍阅读版权服务联合体"2024年4月成立（中宣部版权管理局、中国残联宣文部推动）；✅语音"听书"/大字体/高对比度/盲文电子书/触觉反馈阅读器普及；✅无障碍电影旁白解说实践（伊犁州案例）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