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381. “就业无碍，残障同行”——残障人士就业渠道使用与支持性服务需求研究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研究对象：在业/求职残障人士及就业服务机构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核心问题/变量：就业渠道（残疾人就业保障金/辅助性就业/灵活）、职业匹配、收入、歧视经历、支持需求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就业渠道（残疾人就业保障金/辅助性就业/灵活）、职业匹配（支持需求）之间存在可检验的关系，且受群体差异（年龄/收入/地区/身份）调节（待验证）；H2：就业渠道（残疾人就业保障金/辅助性就业/灵活）、职业匹配是影响支持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✅《残疾人保障法》与机关事业单位按比例就业（政策背景）；✅盲人按摩从业（2026统考2150人关联）；🔶残障就业率数据（残联年报需下载）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残联/残疾人就业服务中心渠道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✅《残疾人保障法》与机关事业单位按比例就业（政策背景）；✅盲人按摩从业（2026统考2150人关联）；🔶残障就业率数据（残联年报需下载）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