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384. “留守娃的心愿”——农村留守儿童关爱服务需求与获得感研究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研究对象：留守儿童（8—15岁）及其照护人（祖辈/教师）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核心问题/变量：情感陪伴缺口、学习支持、电子产品依赖、心理健康、节假日父母团聚、关爱服务评价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H1：情感陪伴缺口、学习支持（关爱服务评价）之间存在可检验的关系，且受群体差异（年龄/收入/地区/身份）调节（待验证）；H2：情感陪伴缺口、学习支持是影响关爱服务评价的关键因素（待验证）。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🔶留守儿童规模（民政部数据需核验）；✅《未成年人保护法》与留守儿童关爱保护政策（国务院）；✅农村教育质量提升背景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农村学校/村儿童之家渠道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🔶留守儿童规模（民政部数据需核验）；✅《未成年人保护法》与留守儿童关爱保护政策（国务院）；✅农村教育质量提升背景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