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386. “城市书房，书香一隅”——城市书房使用行为与设施满意度研究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研究对象：常去城市书房/图书馆/24小时书店的市民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核心问题/变量：使用场景（自习/借阅/休闲）、开放时段需求、设施满意度、借阅与购书、空间打卡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自习/借阅/休闲）、开放时段需求（空间打卡）之间存在可检验的关系，且受群体差异（年龄/收入/地区/身份）调节（待验证）；H2：使用场景（自习/借阅/休闲）、开放时段需求是影响空间打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✅全民阅读推广（中宣部政策背景）；🔶城市书房建设数量（文旅部门数据需核验）；✅公共文化服务均等化政策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城市书房现场问卷；与151题（自习室）区分：聚焦公共阅读空间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✅全民阅读推广（中宣部政策背景）；🔶城市书房建设数量（文旅部门数据需核验）；✅公共文化服务均等化政策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