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509. “老幼共托，一老一小”——'一老一小'融合托育养老模式需求偏好与接受度调查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研究对象：家有老人与幼儿的双职工家庭、养老/托育机构从业者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核心问题/变量：老幼共托（养老+托育同空间）认知与接受度、代际互动价值感知、安全保障顾虑、付费意愿、对社区公共服务布局期待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老幼共托（养老+托育同空间）认知与接受度、代际互动价值感知（对社区公共服务布局期待）之间存在可检验的关系，且受群体差异（年龄/收入/地区/身份）调节（待验证）；H2：老幼共托（养老+托育同空间）认知与接受度、代际互动价值感知是影响对社区公共服务布局期待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✅“一老一小”服务政策（国务院、民政/卫健文件）；🔶老幼共托试点案例（权威媒体，须下载核验）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试点机构/社区问卷+从业者访谈；与506（共享奶奶）区分：聚焦机构化“一老一小”融合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✅“一老一小”服务政策（国务院、民政/卫健文件）；🔶老幼共托试点案例（权威媒体，须下载核验）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